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FB1" w:rsidRDefault="00A63FB1" w:rsidP="00A63FB1">
      <w:pPr>
        <w:pStyle w:val="Default"/>
      </w:pPr>
    </w:p>
    <w:p w:rsidR="00A63FB1" w:rsidRPr="009535AC" w:rsidRDefault="00A63FB1" w:rsidP="009535AC">
      <w:pPr>
        <w:pStyle w:val="Default"/>
        <w:numPr>
          <w:ilvl w:val="0"/>
          <w:numId w:val="1"/>
        </w:numPr>
        <w:rPr>
          <w:rFonts w:ascii="Century Gothic" w:hAnsi="Century Gothic"/>
          <w:b/>
          <w:bCs/>
          <w:sz w:val="22"/>
          <w:szCs w:val="22"/>
        </w:rPr>
      </w:pPr>
      <w:r w:rsidRPr="009535AC">
        <w:rPr>
          <w:rFonts w:ascii="Century Gothic" w:hAnsi="Century Gothic"/>
          <w:b/>
          <w:bCs/>
          <w:sz w:val="22"/>
          <w:szCs w:val="22"/>
        </w:rPr>
        <w:t>Introduction</w:t>
      </w:r>
    </w:p>
    <w:p w:rsidR="00A63FB1" w:rsidRPr="009535AC" w:rsidRDefault="00A63FB1" w:rsidP="00A63FB1">
      <w:pPr>
        <w:pStyle w:val="Default"/>
        <w:rPr>
          <w:rFonts w:ascii="Century Gothic" w:hAnsi="Century Gothic"/>
          <w:sz w:val="22"/>
          <w:szCs w:val="22"/>
        </w:rPr>
      </w:pPr>
      <w:r w:rsidRPr="009535AC">
        <w:rPr>
          <w:rFonts w:ascii="Century Gothic" w:hAnsi="Century Gothic"/>
          <w:b/>
          <w:bCs/>
          <w:sz w:val="22"/>
          <w:szCs w:val="22"/>
        </w:rPr>
        <w:t xml:space="preserve"> </w:t>
      </w:r>
    </w:p>
    <w:p w:rsidR="00A63FB1" w:rsidRPr="009535AC" w:rsidRDefault="00A63FB1" w:rsidP="00A63FB1">
      <w:pPr>
        <w:pStyle w:val="Default"/>
        <w:rPr>
          <w:rFonts w:ascii="Century Gothic" w:hAnsi="Century Gothic"/>
          <w:sz w:val="22"/>
          <w:szCs w:val="22"/>
        </w:rPr>
      </w:pPr>
      <w:r w:rsidRPr="009535AC">
        <w:rPr>
          <w:rFonts w:ascii="Century Gothic" w:hAnsi="Century Gothic"/>
          <w:sz w:val="22"/>
          <w:szCs w:val="22"/>
        </w:rPr>
        <w:t xml:space="preserve">All health and social care services in Scotland have a duty of candour. This is a legal requirement which means that when unintended or unexpected events happen that result in death or harm as defined in the Act, the people affected understand what has happened, receive an apology, and </w:t>
      </w:r>
      <w:r w:rsidR="00402E85">
        <w:rPr>
          <w:rFonts w:ascii="Century Gothic" w:hAnsi="Century Gothic"/>
          <w:sz w:val="22"/>
          <w:szCs w:val="22"/>
        </w:rPr>
        <w:t xml:space="preserve">are informed by the </w:t>
      </w:r>
      <w:r w:rsidRPr="009535AC">
        <w:rPr>
          <w:rFonts w:ascii="Century Gothic" w:hAnsi="Century Gothic"/>
          <w:sz w:val="22"/>
          <w:szCs w:val="22"/>
        </w:rPr>
        <w:t>organisation</w:t>
      </w:r>
      <w:r w:rsidR="00402E85">
        <w:rPr>
          <w:rFonts w:ascii="Century Gothic" w:hAnsi="Century Gothic"/>
          <w:sz w:val="22"/>
          <w:szCs w:val="22"/>
        </w:rPr>
        <w:t xml:space="preserve"> what has been </w:t>
      </w:r>
      <w:r w:rsidRPr="009535AC">
        <w:rPr>
          <w:rFonts w:ascii="Century Gothic" w:hAnsi="Century Gothic"/>
          <w:sz w:val="22"/>
          <w:szCs w:val="22"/>
        </w:rPr>
        <w:t>learn</w:t>
      </w:r>
      <w:r w:rsidR="00402E85">
        <w:rPr>
          <w:rFonts w:ascii="Century Gothic" w:hAnsi="Century Gothic"/>
          <w:sz w:val="22"/>
          <w:szCs w:val="22"/>
        </w:rPr>
        <w:t xml:space="preserve">ed and how </w:t>
      </w:r>
      <w:r w:rsidRPr="009535AC">
        <w:rPr>
          <w:rFonts w:ascii="Century Gothic" w:hAnsi="Century Gothic"/>
          <w:sz w:val="22"/>
          <w:szCs w:val="22"/>
        </w:rPr>
        <w:t>improve</w:t>
      </w:r>
      <w:r w:rsidR="00402E85">
        <w:rPr>
          <w:rFonts w:ascii="Century Gothic" w:hAnsi="Century Gothic"/>
          <w:sz w:val="22"/>
          <w:szCs w:val="22"/>
        </w:rPr>
        <w:t>ments</w:t>
      </w:r>
      <w:r w:rsidRPr="009535AC">
        <w:rPr>
          <w:rFonts w:ascii="Century Gothic" w:hAnsi="Century Gothic"/>
          <w:sz w:val="22"/>
          <w:szCs w:val="22"/>
        </w:rPr>
        <w:t xml:space="preserve"> for the future</w:t>
      </w:r>
      <w:r w:rsidR="00402E85">
        <w:rPr>
          <w:rFonts w:ascii="Century Gothic" w:hAnsi="Century Gothic"/>
          <w:sz w:val="22"/>
          <w:szCs w:val="22"/>
        </w:rPr>
        <w:t xml:space="preserve"> will be made</w:t>
      </w:r>
      <w:r w:rsidRPr="009535AC">
        <w:rPr>
          <w:rFonts w:ascii="Century Gothic" w:hAnsi="Century Gothic"/>
          <w:sz w:val="22"/>
          <w:szCs w:val="22"/>
        </w:rPr>
        <w:t xml:space="preserve">. </w:t>
      </w:r>
    </w:p>
    <w:p w:rsidR="00A63FB1" w:rsidRPr="009535AC" w:rsidRDefault="00A63FB1" w:rsidP="00A63FB1">
      <w:pPr>
        <w:pStyle w:val="Default"/>
        <w:rPr>
          <w:rFonts w:ascii="Century Gothic" w:hAnsi="Century Gothic"/>
          <w:sz w:val="22"/>
          <w:szCs w:val="22"/>
        </w:rPr>
      </w:pPr>
    </w:p>
    <w:p w:rsidR="00A63FB1" w:rsidRPr="009535AC" w:rsidRDefault="00A63FB1" w:rsidP="00A63FB1">
      <w:pPr>
        <w:pStyle w:val="Default"/>
        <w:rPr>
          <w:rFonts w:ascii="Century Gothic" w:hAnsi="Century Gothic"/>
          <w:sz w:val="22"/>
          <w:szCs w:val="22"/>
        </w:rPr>
      </w:pPr>
      <w:r w:rsidRPr="009535AC">
        <w:rPr>
          <w:rFonts w:ascii="Century Gothic" w:hAnsi="Century Gothic"/>
          <w:sz w:val="22"/>
          <w:szCs w:val="22"/>
        </w:rPr>
        <w:t xml:space="preserve">An important part of this duty is that we </w:t>
      </w:r>
      <w:r w:rsidR="00402E85">
        <w:rPr>
          <w:rFonts w:ascii="Century Gothic" w:hAnsi="Century Gothic"/>
          <w:sz w:val="22"/>
          <w:szCs w:val="22"/>
        </w:rPr>
        <w:t>publish</w:t>
      </w:r>
      <w:r w:rsidRPr="009535AC">
        <w:rPr>
          <w:rFonts w:ascii="Century Gothic" w:hAnsi="Century Gothic"/>
          <w:sz w:val="22"/>
          <w:szCs w:val="22"/>
        </w:rPr>
        <w:t xml:space="preserve"> an annual report </w:t>
      </w:r>
      <w:r w:rsidR="00402E85">
        <w:rPr>
          <w:rFonts w:ascii="Century Gothic" w:hAnsi="Century Gothic"/>
          <w:sz w:val="22"/>
          <w:szCs w:val="22"/>
        </w:rPr>
        <w:t xml:space="preserve">which </w:t>
      </w:r>
      <w:r w:rsidRPr="009535AC">
        <w:rPr>
          <w:rFonts w:ascii="Century Gothic" w:hAnsi="Century Gothic"/>
          <w:sz w:val="22"/>
          <w:szCs w:val="22"/>
        </w:rPr>
        <w:t xml:space="preserve">describes how NHS Highland has operated the duty of candour </w:t>
      </w:r>
      <w:r w:rsidR="00402E85">
        <w:rPr>
          <w:rFonts w:ascii="Century Gothic" w:hAnsi="Century Gothic"/>
          <w:sz w:val="22"/>
          <w:szCs w:val="22"/>
        </w:rPr>
        <w:t xml:space="preserve">procedures </w:t>
      </w:r>
      <w:r w:rsidRPr="009535AC">
        <w:rPr>
          <w:rFonts w:ascii="Century Gothic" w:hAnsi="Century Gothic"/>
          <w:sz w:val="22"/>
          <w:szCs w:val="22"/>
        </w:rPr>
        <w:t>duri</w:t>
      </w:r>
      <w:r w:rsidR="000B0594">
        <w:rPr>
          <w:rFonts w:ascii="Century Gothic" w:hAnsi="Century Gothic"/>
          <w:sz w:val="22"/>
          <w:szCs w:val="22"/>
        </w:rPr>
        <w:t>ng the time between 1 April 2022 and 31 March 2023</w:t>
      </w:r>
      <w:r w:rsidRPr="009535AC">
        <w:rPr>
          <w:rFonts w:ascii="Century Gothic" w:hAnsi="Century Gothic"/>
          <w:sz w:val="22"/>
          <w:szCs w:val="22"/>
        </w:rPr>
        <w:t xml:space="preserve">. </w:t>
      </w:r>
    </w:p>
    <w:p w:rsidR="00A63FB1" w:rsidRPr="009535AC" w:rsidRDefault="00A63FB1" w:rsidP="00A63FB1">
      <w:pPr>
        <w:pStyle w:val="Default"/>
        <w:rPr>
          <w:rFonts w:ascii="Century Gothic" w:hAnsi="Century Gothic"/>
          <w:sz w:val="22"/>
          <w:szCs w:val="22"/>
        </w:rPr>
      </w:pPr>
    </w:p>
    <w:p w:rsidR="00A63FB1" w:rsidRPr="009535AC" w:rsidRDefault="00124657" w:rsidP="009535AC">
      <w:pPr>
        <w:pStyle w:val="Default"/>
        <w:numPr>
          <w:ilvl w:val="0"/>
          <w:numId w:val="1"/>
        </w:numPr>
        <w:rPr>
          <w:rFonts w:ascii="Century Gothic" w:hAnsi="Century Gothic"/>
          <w:b/>
          <w:sz w:val="22"/>
          <w:szCs w:val="22"/>
        </w:rPr>
      </w:pPr>
      <w:r>
        <w:rPr>
          <w:rFonts w:ascii="Century Gothic" w:hAnsi="Century Gothic"/>
          <w:b/>
          <w:bCs/>
          <w:sz w:val="22"/>
          <w:szCs w:val="22"/>
        </w:rPr>
        <w:t>About NHS Highland</w:t>
      </w:r>
    </w:p>
    <w:p w:rsidR="009535AC" w:rsidRPr="009535AC" w:rsidRDefault="009535AC" w:rsidP="009535AC">
      <w:pPr>
        <w:pStyle w:val="Default"/>
        <w:ind w:left="720"/>
        <w:rPr>
          <w:rFonts w:ascii="Century Gothic" w:hAnsi="Century Gothic"/>
          <w:sz w:val="22"/>
          <w:szCs w:val="22"/>
        </w:rPr>
      </w:pPr>
    </w:p>
    <w:p w:rsidR="009E38BC" w:rsidRPr="009E38BC" w:rsidRDefault="000B0594" w:rsidP="00A63FB1">
      <w:pPr>
        <w:pStyle w:val="Default"/>
        <w:rPr>
          <w:rFonts w:ascii="Century Gothic" w:hAnsi="Century Gothic"/>
          <w:sz w:val="22"/>
          <w:szCs w:val="22"/>
        </w:rPr>
      </w:pPr>
      <w:r>
        <w:rPr>
          <w:rFonts w:ascii="Century Gothic" w:hAnsi="Century Gothic"/>
          <w:sz w:val="22"/>
          <w:szCs w:val="22"/>
        </w:rPr>
        <w:t>Port Appin Medical Practice</w:t>
      </w:r>
      <w:r w:rsidR="000D37C7">
        <w:rPr>
          <w:rFonts w:ascii="Century Gothic" w:hAnsi="Century Gothic"/>
          <w:sz w:val="22"/>
          <w:szCs w:val="22"/>
        </w:rPr>
        <w:t xml:space="preserve"> </w:t>
      </w:r>
      <w:r w:rsidR="00A63FB1" w:rsidRPr="009E38BC">
        <w:rPr>
          <w:rFonts w:ascii="Century Gothic" w:hAnsi="Century Gothic"/>
          <w:sz w:val="22"/>
          <w:szCs w:val="22"/>
        </w:rPr>
        <w:t xml:space="preserve">serves a population of </w:t>
      </w:r>
      <w:r w:rsidRPr="00060017">
        <w:rPr>
          <w:rFonts w:ascii="Century Gothic" w:hAnsi="Century Gothic"/>
          <w:sz w:val="22"/>
          <w:szCs w:val="22"/>
        </w:rPr>
        <w:t>approximately 900</w:t>
      </w:r>
      <w:r w:rsidR="00A63FB1" w:rsidRPr="009E38BC">
        <w:rPr>
          <w:rFonts w:ascii="Century Gothic" w:hAnsi="Century Gothic"/>
          <w:sz w:val="22"/>
          <w:szCs w:val="22"/>
        </w:rPr>
        <w:t xml:space="preserve"> people across </w:t>
      </w:r>
      <w:r w:rsidRPr="00060017">
        <w:rPr>
          <w:rFonts w:ascii="Century Gothic" w:hAnsi="Century Gothic"/>
          <w:sz w:val="22"/>
          <w:szCs w:val="22"/>
        </w:rPr>
        <w:t>Appin, Port Appin, Isle of Lismore, Duror &amp; Kentallen</w:t>
      </w:r>
      <w:r w:rsidR="009E38BC" w:rsidRPr="00060017">
        <w:rPr>
          <w:rFonts w:ascii="Century Gothic" w:hAnsi="Century Gothic"/>
          <w:sz w:val="22"/>
          <w:szCs w:val="22"/>
        </w:rPr>
        <w:t>.</w:t>
      </w:r>
      <w:r w:rsidR="009E38BC" w:rsidRPr="009E38BC">
        <w:rPr>
          <w:rFonts w:ascii="Century Gothic" w:hAnsi="Century Gothic"/>
          <w:sz w:val="22"/>
          <w:szCs w:val="22"/>
        </w:rPr>
        <w:t xml:space="preserve">  </w:t>
      </w:r>
    </w:p>
    <w:p w:rsidR="009E38BC" w:rsidRDefault="009E38BC" w:rsidP="00A63FB1">
      <w:pPr>
        <w:pStyle w:val="Default"/>
        <w:rPr>
          <w:rFonts w:ascii="Verdana" w:hAnsi="Verdana"/>
          <w:sz w:val="18"/>
          <w:szCs w:val="18"/>
        </w:rPr>
      </w:pPr>
    </w:p>
    <w:p w:rsidR="00A63FB1" w:rsidRPr="009535AC" w:rsidRDefault="00A63FB1" w:rsidP="00A63FB1">
      <w:pPr>
        <w:pStyle w:val="Default"/>
        <w:rPr>
          <w:rFonts w:ascii="Century Gothic" w:hAnsi="Century Gothic"/>
          <w:sz w:val="22"/>
          <w:szCs w:val="22"/>
        </w:rPr>
      </w:pPr>
      <w:r w:rsidRPr="009535AC">
        <w:rPr>
          <w:rFonts w:ascii="Century Gothic" w:hAnsi="Century Gothic"/>
          <w:sz w:val="22"/>
          <w:szCs w:val="22"/>
        </w:rPr>
        <w:t>Our aim is to provide high quality care for every person who uses our services</w:t>
      </w:r>
      <w:r w:rsidR="000D37C7">
        <w:rPr>
          <w:rFonts w:ascii="Century Gothic" w:hAnsi="Century Gothic"/>
          <w:sz w:val="22"/>
          <w:szCs w:val="22"/>
        </w:rPr>
        <w:t>.</w:t>
      </w:r>
    </w:p>
    <w:p w:rsidR="00A63FB1" w:rsidRPr="009535AC" w:rsidRDefault="00A63FB1" w:rsidP="00A63FB1">
      <w:pPr>
        <w:pStyle w:val="Default"/>
        <w:rPr>
          <w:rFonts w:ascii="Century Gothic" w:hAnsi="Century Gothic"/>
          <w:sz w:val="22"/>
          <w:szCs w:val="22"/>
        </w:rPr>
      </w:pPr>
      <w:r w:rsidRPr="009535AC">
        <w:rPr>
          <w:rFonts w:ascii="Century Gothic" w:hAnsi="Century Gothic"/>
          <w:sz w:val="22"/>
          <w:szCs w:val="22"/>
        </w:rPr>
        <w:t xml:space="preserve"> </w:t>
      </w:r>
    </w:p>
    <w:p w:rsidR="00A63FB1" w:rsidRPr="009535AC" w:rsidRDefault="00A63FB1" w:rsidP="009535AC">
      <w:pPr>
        <w:pStyle w:val="Default"/>
        <w:numPr>
          <w:ilvl w:val="0"/>
          <w:numId w:val="1"/>
        </w:numPr>
        <w:rPr>
          <w:rFonts w:ascii="Century Gothic" w:hAnsi="Century Gothic"/>
          <w:b/>
          <w:sz w:val="22"/>
          <w:szCs w:val="22"/>
        </w:rPr>
      </w:pPr>
      <w:r w:rsidRPr="009535AC">
        <w:rPr>
          <w:rFonts w:ascii="Century Gothic" w:hAnsi="Century Gothic"/>
          <w:b/>
          <w:bCs/>
          <w:sz w:val="22"/>
          <w:szCs w:val="22"/>
        </w:rPr>
        <w:t xml:space="preserve">How many incidents happened to which the duty of candour applies? </w:t>
      </w:r>
    </w:p>
    <w:p w:rsidR="009535AC" w:rsidRPr="009535AC" w:rsidRDefault="009535AC" w:rsidP="009535AC">
      <w:pPr>
        <w:pStyle w:val="Default"/>
        <w:ind w:left="720"/>
        <w:rPr>
          <w:rFonts w:ascii="Century Gothic" w:hAnsi="Century Gothic"/>
          <w:sz w:val="22"/>
          <w:szCs w:val="22"/>
        </w:rPr>
      </w:pPr>
    </w:p>
    <w:p w:rsidR="00A63FB1" w:rsidRPr="009535AC" w:rsidRDefault="000B0594" w:rsidP="00A63FB1">
      <w:pPr>
        <w:pStyle w:val="Default"/>
        <w:rPr>
          <w:rFonts w:ascii="Century Gothic" w:hAnsi="Century Gothic"/>
          <w:sz w:val="22"/>
          <w:szCs w:val="22"/>
        </w:rPr>
      </w:pPr>
      <w:r>
        <w:rPr>
          <w:rFonts w:ascii="Century Gothic" w:hAnsi="Century Gothic"/>
          <w:sz w:val="22"/>
          <w:szCs w:val="22"/>
        </w:rPr>
        <w:t>Between 1 April 2022 and 31 March 2023</w:t>
      </w:r>
      <w:r w:rsidR="00A63FB1" w:rsidRPr="009535AC">
        <w:rPr>
          <w:rFonts w:ascii="Century Gothic" w:hAnsi="Century Gothic"/>
          <w:sz w:val="22"/>
          <w:szCs w:val="22"/>
        </w:rPr>
        <w:t xml:space="preserve">, there were </w:t>
      </w:r>
      <w:r w:rsidRPr="00060017">
        <w:rPr>
          <w:rFonts w:ascii="Century Gothic" w:hAnsi="Century Gothic"/>
          <w:sz w:val="22"/>
          <w:szCs w:val="22"/>
        </w:rPr>
        <w:t>0</w:t>
      </w:r>
      <w:r w:rsidR="00A63FB1" w:rsidRPr="009535AC">
        <w:rPr>
          <w:rFonts w:ascii="Century Gothic" w:hAnsi="Century Gothic"/>
          <w:sz w:val="22"/>
          <w:szCs w:val="22"/>
        </w:rPr>
        <w:t xml:space="preserve"> incidents where the duty of candour applied. These are unintended or unexpected incidents that result in death or harm as defined in the Act, and do not relate directly to the natural course of someone’s illness or underlying condition. </w:t>
      </w:r>
    </w:p>
    <w:p w:rsidR="00A63FB1" w:rsidRPr="009535AC" w:rsidRDefault="00A63FB1" w:rsidP="00A63FB1">
      <w:pPr>
        <w:pStyle w:val="Default"/>
        <w:rPr>
          <w:rFonts w:ascii="Century Gothic" w:hAnsi="Century Gothic"/>
          <w:sz w:val="22"/>
          <w:szCs w:val="22"/>
        </w:rPr>
      </w:pPr>
    </w:p>
    <w:p w:rsidR="00A63FB1" w:rsidRPr="009535AC" w:rsidRDefault="00A63FB1" w:rsidP="00A63FB1">
      <w:pPr>
        <w:pStyle w:val="Default"/>
        <w:rPr>
          <w:rFonts w:ascii="Century Gothic" w:hAnsi="Century Gothic"/>
          <w:sz w:val="22"/>
          <w:szCs w:val="22"/>
        </w:rPr>
      </w:pPr>
      <w:r w:rsidRPr="009535AC">
        <w:rPr>
          <w:rFonts w:ascii="Century Gothic" w:hAnsi="Century Gothic"/>
          <w:sz w:val="22"/>
          <w:szCs w:val="22"/>
        </w:rPr>
        <w:t xml:space="preserve">Over the time period for this report we carried out </w:t>
      </w:r>
      <w:r w:rsidR="00402E85">
        <w:rPr>
          <w:rFonts w:ascii="Century Gothic" w:hAnsi="Century Gothic"/>
          <w:sz w:val="22"/>
          <w:szCs w:val="22"/>
        </w:rPr>
        <w:t xml:space="preserve">and concluded </w:t>
      </w:r>
      <w:r w:rsidR="000B0594" w:rsidRPr="00060017">
        <w:rPr>
          <w:rFonts w:ascii="Century Gothic" w:hAnsi="Century Gothic"/>
          <w:sz w:val="22"/>
          <w:szCs w:val="22"/>
        </w:rPr>
        <w:t>0</w:t>
      </w:r>
      <w:bookmarkStart w:id="0" w:name="_GoBack"/>
      <w:bookmarkEnd w:id="0"/>
      <w:r w:rsidR="004B0625">
        <w:rPr>
          <w:rFonts w:ascii="Century Gothic" w:hAnsi="Century Gothic"/>
          <w:sz w:val="22"/>
          <w:szCs w:val="22"/>
        </w:rPr>
        <w:t xml:space="preserve"> significant event analyses</w:t>
      </w:r>
      <w:r w:rsidRPr="009535AC">
        <w:rPr>
          <w:rFonts w:ascii="Century Gothic" w:hAnsi="Century Gothic"/>
          <w:sz w:val="22"/>
          <w:szCs w:val="22"/>
        </w:rPr>
        <w:t xml:space="preserve">. </w:t>
      </w:r>
      <w:r w:rsidR="00402E85">
        <w:rPr>
          <w:rFonts w:ascii="Century Gothic" w:hAnsi="Century Gothic"/>
          <w:sz w:val="22"/>
          <w:szCs w:val="22"/>
        </w:rPr>
        <w:t xml:space="preserve"> </w:t>
      </w:r>
      <w:r w:rsidRPr="009535AC">
        <w:rPr>
          <w:rFonts w:ascii="Century Gothic" w:hAnsi="Century Gothic"/>
          <w:sz w:val="22"/>
          <w:szCs w:val="22"/>
        </w:rPr>
        <w:t xml:space="preserve">These events include a wider range of outcomes than those defined in the duty of candour legislation as we also include adverse events that did not result in significant harm but had the potential to cause significant harm. </w:t>
      </w:r>
      <w:r w:rsidR="00402E85">
        <w:rPr>
          <w:rFonts w:ascii="Century Gothic" w:hAnsi="Century Gothic"/>
          <w:sz w:val="22"/>
          <w:szCs w:val="22"/>
        </w:rPr>
        <w:t xml:space="preserve">  </w:t>
      </w:r>
      <w:r w:rsidRPr="009535AC">
        <w:rPr>
          <w:rFonts w:ascii="Century Gothic" w:hAnsi="Century Gothic"/>
          <w:sz w:val="22"/>
          <w:szCs w:val="22"/>
        </w:rPr>
        <w:t xml:space="preserve">Significant </w:t>
      </w:r>
      <w:r w:rsidR="004B0625">
        <w:rPr>
          <w:rFonts w:ascii="Century Gothic" w:hAnsi="Century Gothic"/>
          <w:sz w:val="22"/>
          <w:szCs w:val="22"/>
        </w:rPr>
        <w:t xml:space="preserve">event analyses </w:t>
      </w:r>
      <w:r w:rsidRPr="009535AC">
        <w:rPr>
          <w:rFonts w:ascii="Century Gothic" w:hAnsi="Century Gothic"/>
          <w:sz w:val="22"/>
          <w:szCs w:val="22"/>
        </w:rPr>
        <w:t>are also undertaken where there is no harm to patients or service users, but there has been a significant impact to service or care delivery.</w:t>
      </w:r>
    </w:p>
    <w:p w:rsidR="00A63FB1" w:rsidRPr="009535AC" w:rsidRDefault="00A63FB1" w:rsidP="00A63FB1">
      <w:pPr>
        <w:pStyle w:val="Default"/>
        <w:rPr>
          <w:rFonts w:ascii="Century Gothic" w:hAnsi="Century Gothic"/>
          <w:sz w:val="22"/>
          <w:szCs w:val="22"/>
        </w:rPr>
      </w:pPr>
      <w:r w:rsidRPr="009535AC">
        <w:rPr>
          <w:rFonts w:ascii="Century Gothic" w:hAnsi="Century Gothic"/>
          <w:sz w:val="22"/>
          <w:szCs w:val="22"/>
        </w:rPr>
        <w:t xml:space="preserve"> </w:t>
      </w:r>
    </w:p>
    <w:p w:rsidR="00A63FB1" w:rsidRDefault="00A63FB1" w:rsidP="00A63FB1">
      <w:pPr>
        <w:pStyle w:val="Default"/>
        <w:rPr>
          <w:rFonts w:ascii="Century Gothic" w:hAnsi="Century Gothic"/>
          <w:sz w:val="22"/>
          <w:szCs w:val="22"/>
        </w:rPr>
      </w:pPr>
      <w:r w:rsidRPr="009535AC">
        <w:rPr>
          <w:rFonts w:ascii="Century Gothic" w:hAnsi="Century Gothic"/>
          <w:sz w:val="22"/>
          <w:szCs w:val="22"/>
        </w:rPr>
        <w:t xml:space="preserve">We identify through the significant </w:t>
      </w:r>
      <w:r w:rsidR="004B0625" w:rsidRPr="009535AC">
        <w:rPr>
          <w:rFonts w:ascii="Century Gothic" w:hAnsi="Century Gothic"/>
          <w:sz w:val="22"/>
          <w:szCs w:val="22"/>
        </w:rPr>
        <w:t xml:space="preserve">event </w:t>
      </w:r>
      <w:r w:rsidRPr="009535AC">
        <w:rPr>
          <w:rFonts w:ascii="Century Gothic" w:hAnsi="Century Gothic"/>
          <w:sz w:val="22"/>
          <w:szCs w:val="22"/>
        </w:rPr>
        <w:t>a</w:t>
      </w:r>
      <w:r w:rsidR="004B0625">
        <w:rPr>
          <w:rFonts w:ascii="Century Gothic" w:hAnsi="Century Gothic"/>
          <w:sz w:val="22"/>
          <w:szCs w:val="22"/>
        </w:rPr>
        <w:t>nalysis pr</w:t>
      </w:r>
      <w:r w:rsidRPr="009535AC">
        <w:rPr>
          <w:rFonts w:ascii="Century Gothic" w:hAnsi="Century Gothic"/>
          <w:sz w:val="22"/>
          <w:szCs w:val="22"/>
        </w:rPr>
        <w:t xml:space="preserve">ocess if there were factors that may have caused or contributed to the event, which helps to identify duty of candour incidents. </w:t>
      </w:r>
    </w:p>
    <w:p w:rsidR="00402E85" w:rsidRDefault="00402E85" w:rsidP="00A63FB1">
      <w:pPr>
        <w:pStyle w:val="Default"/>
        <w:rPr>
          <w:rFonts w:ascii="Century Gothic" w:hAnsi="Century Gothic"/>
          <w:sz w:val="22"/>
          <w:szCs w:val="22"/>
        </w:rPr>
      </w:pPr>
    </w:p>
    <w:p w:rsidR="00A63FB1" w:rsidRDefault="00A63FB1" w:rsidP="00A63FB1">
      <w:pPr>
        <w:pStyle w:val="Default"/>
        <w:rPr>
          <w:rFonts w:ascii="Century Gothic" w:hAnsi="Century Gothic"/>
          <w:sz w:val="22"/>
          <w:szCs w:val="22"/>
        </w:rPr>
      </w:pPr>
    </w:p>
    <w:p w:rsidR="00402E85" w:rsidRDefault="00402E85" w:rsidP="00A63FB1">
      <w:pPr>
        <w:pStyle w:val="Default"/>
        <w:rPr>
          <w:rFonts w:ascii="Century Gothic" w:hAnsi="Century Gothic"/>
          <w:sz w:val="22"/>
          <w:szCs w:val="22"/>
        </w:rPr>
      </w:pPr>
    </w:p>
    <w:p w:rsidR="00402E85" w:rsidRDefault="00402E85" w:rsidP="00A63FB1">
      <w:pPr>
        <w:pStyle w:val="Default"/>
        <w:rPr>
          <w:rFonts w:ascii="Century Gothic" w:hAnsi="Century Gothic"/>
          <w:sz w:val="22"/>
          <w:szCs w:val="22"/>
        </w:rPr>
      </w:pPr>
    </w:p>
    <w:p w:rsidR="00402E85" w:rsidRDefault="00402E85" w:rsidP="00A63FB1">
      <w:pPr>
        <w:pStyle w:val="Default"/>
        <w:rPr>
          <w:rFonts w:ascii="Century Gothic" w:hAnsi="Century Gothic"/>
          <w:sz w:val="22"/>
          <w:szCs w:val="22"/>
        </w:rPr>
      </w:pPr>
    </w:p>
    <w:p w:rsidR="00402E85" w:rsidRDefault="00402E85" w:rsidP="00A63FB1">
      <w:pPr>
        <w:pStyle w:val="Default"/>
        <w:rPr>
          <w:rFonts w:ascii="Century Gothic" w:hAnsi="Century Gothic"/>
          <w:sz w:val="22"/>
          <w:szCs w:val="22"/>
        </w:rPr>
      </w:pPr>
    </w:p>
    <w:p w:rsidR="000D37C7" w:rsidRDefault="000D37C7">
      <w:pPr>
        <w:rPr>
          <w:rFonts w:ascii="Century Gothic" w:hAnsi="Century Gothic" w:cs="Arial"/>
          <w:color w:val="000000"/>
        </w:rPr>
      </w:pPr>
      <w:r>
        <w:rPr>
          <w:rFonts w:ascii="Century Gothic" w:hAnsi="Century Gothic"/>
        </w:rPr>
        <w:br w:type="page"/>
      </w:r>
    </w:p>
    <w:p w:rsidR="00402E85" w:rsidRPr="009535AC" w:rsidRDefault="00402E85" w:rsidP="00A63FB1">
      <w:pPr>
        <w:pStyle w:val="Default"/>
        <w:rPr>
          <w:rFonts w:ascii="Century Gothic" w:hAnsi="Century Gothic"/>
          <w:sz w:val="22"/>
          <w:szCs w:val="22"/>
        </w:rPr>
      </w:pPr>
      <w:r>
        <w:rPr>
          <w:rFonts w:ascii="Century Gothic" w:hAnsi="Century Gothic"/>
          <w:sz w:val="22"/>
          <w:szCs w:val="22"/>
        </w:rPr>
        <w:lastRenderedPageBreak/>
        <w:t>Table 1.</w:t>
      </w:r>
    </w:p>
    <w:tbl>
      <w:tblPr>
        <w:tblStyle w:val="TableGrid"/>
        <w:tblW w:w="0" w:type="auto"/>
        <w:tblLook w:val="04A0" w:firstRow="1" w:lastRow="0" w:firstColumn="1" w:lastColumn="0" w:noHBand="0" w:noVBand="1"/>
      </w:tblPr>
      <w:tblGrid>
        <w:gridCol w:w="4947"/>
        <w:gridCol w:w="4069"/>
      </w:tblGrid>
      <w:tr w:rsidR="00A63FB1" w:rsidRPr="009535AC" w:rsidTr="009535AC">
        <w:tc>
          <w:tcPr>
            <w:tcW w:w="5070" w:type="dxa"/>
          </w:tcPr>
          <w:p w:rsidR="00A63FB1" w:rsidRPr="009535AC" w:rsidRDefault="00A63FB1" w:rsidP="00A63FB1">
            <w:pPr>
              <w:pStyle w:val="Default"/>
              <w:rPr>
                <w:rFonts w:ascii="Century Gothic" w:hAnsi="Century Gothic"/>
                <w:sz w:val="22"/>
                <w:szCs w:val="22"/>
              </w:rPr>
            </w:pPr>
            <w:r w:rsidRPr="009535AC">
              <w:rPr>
                <w:rFonts w:ascii="Century Gothic" w:hAnsi="Century Gothic"/>
                <w:b/>
                <w:bCs/>
                <w:sz w:val="22"/>
                <w:szCs w:val="22"/>
              </w:rPr>
              <w:t>Type of unexpected or unintended incident (not related to the natural course of someone’s illness or underlying condition)</w:t>
            </w:r>
          </w:p>
        </w:tc>
        <w:tc>
          <w:tcPr>
            <w:tcW w:w="4172" w:type="dxa"/>
          </w:tcPr>
          <w:p w:rsidR="00A63FB1" w:rsidRPr="009535AC" w:rsidRDefault="00A63FB1" w:rsidP="00A63FB1">
            <w:pPr>
              <w:pStyle w:val="Default"/>
              <w:rPr>
                <w:rFonts w:ascii="Century Gothic" w:hAnsi="Century Gothic"/>
                <w:sz w:val="22"/>
                <w:szCs w:val="22"/>
              </w:rPr>
            </w:pPr>
            <w:r w:rsidRPr="009535AC">
              <w:rPr>
                <w:rFonts w:ascii="Century Gothic" w:hAnsi="Century Gothic"/>
                <w:b/>
                <w:bCs/>
                <w:sz w:val="22"/>
                <w:szCs w:val="22"/>
              </w:rPr>
              <w:t>Number of times thi</w:t>
            </w:r>
            <w:r w:rsidR="000B0594">
              <w:rPr>
                <w:rFonts w:ascii="Century Gothic" w:hAnsi="Century Gothic"/>
                <w:b/>
                <w:bCs/>
                <w:sz w:val="22"/>
                <w:szCs w:val="22"/>
              </w:rPr>
              <w:t>s happened (between 1 April 2022 and 31 March 2023</w:t>
            </w:r>
            <w:r w:rsidRPr="009535AC">
              <w:rPr>
                <w:rFonts w:ascii="Century Gothic" w:hAnsi="Century Gothic"/>
                <w:b/>
                <w:bCs/>
                <w:sz w:val="22"/>
                <w:szCs w:val="22"/>
              </w:rPr>
              <w:t>)</w:t>
            </w:r>
          </w:p>
        </w:tc>
      </w:tr>
      <w:tr w:rsidR="00A63FB1" w:rsidRPr="009535AC" w:rsidTr="009535AC">
        <w:tc>
          <w:tcPr>
            <w:tcW w:w="5070" w:type="dxa"/>
          </w:tcPr>
          <w:p w:rsidR="00A63FB1" w:rsidRPr="009535AC" w:rsidRDefault="00A63FB1" w:rsidP="00A63FB1">
            <w:pPr>
              <w:pStyle w:val="Default"/>
              <w:rPr>
                <w:rFonts w:ascii="Century Gothic" w:hAnsi="Century Gothic"/>
                <w:sz w:val="22"/>
                <w:szCs w:val="22"/>
              </w:rPr>
            </w:pPr>
            <w:r w:rsidRPr="009535AC">
              <w:rPr>
                <w:rFonts w:ascii="Century Gothic" w:hAnsi="Century Gothic"/>
                <w:sz w:val="22"/>
                <w:szCs w:val="22"/>
              </w:rPr>
              <w:t>A person died</w:t>
            </w:r>
          </w:p>
        </w:tc>
        <w:tc>
          <w:tcPr>
            <w:tcW w:w="4172" w:type="dxa"/>
          </w:tcPr>
          <w:p w:rsidR="00A63FB1" w:rsidRPr="009535AC" w:rsidRDefault="000B0594" w:rsidP="00A63FB1">
            <w:pPr>
              <w:pStyle w:val="Default"/>
              <w:rPr>
                <w:rFonts w:ascii="Century Gothic" w:hAnsi="Century Gothic"/>
                <w:sz w:val="22"/>
                <w:szCs w:val="22"/>
              </w:rPr>
            </w:pPr>
            <w:r>
              <w:rPr>
                <w:rFonts w:ascii="Century Gothic" w:hAnsi="Century Gothic"/>
                <w:sz w:val="22"/>
                <w:szCs w:val="22"/>
              </w:rPr>
              <w:t>0</w:t>
            </w:r>
          </w:p>
        </w:tc>
      </w:tr>
      <w:tr w:rsidR="00A63FB1" w:rsidRPr="009535AC" w:rsidTr="009535AC">
        <w:tc>
          <w:tcPr>
            <w:tcW w:w="5070" w:type="dxa"/>
          </w:tcPr>
          <w:p w:rsidR="00A63FB1" w:rsidRPr="009535AC" w:rsidRDefault="00A63FB1" w:rsidP="00A63FB1">
            <w:pPr>
              <w:pStyle w:val="Default"/>
              <w:rPr>
                <w:rFonts w:ascii="Century Gothic" w:hAnsi="Century Gothic"/>
                <w:sz w:val="22"/>
                <w:szCs w:val="22"/>
              </w:rPr>
            </w:pPr>
            <w:r w:rsidRPr="009535AC">
              <w:rPr>
                <w:rFonts w:ascii="Century Gothic" w:hAnsi="Century Gothic"/>
                <w:sz w:val="22"/>
                <w:szCs w:val="22"/>
              </w:rPr>
              <w:t>A person incurred permanent lessening of bodily, sensory, motor, physiologic or intellectual functions</w:t>
            </w:r>
          </w:p>
        </w:tc>
        <w:tc>
          <w:tcPr>
            <w:tcW w:w="4172" w:type="dxa"/>
          </w:tcPr>
          <w:p w:rsidR="00A63FB1" w:rsidRPr="009535AC" w:rsidRDefault="000B0594" w:rsidP="00A63FB1">
            <w:pPr>
              <w:pStyle w:val="Default"/>
              <w:rPr>
                <w:rFonts w:ascii="Century Gothic" w:hAnsi="Century Gothic"/>
                <w:sz w:val="22"/>
                <w:szCs w:val="22"/>
              </w:rPr>
            </w:pPr>
            <w:r>
              <w:rPr>
                <w:rFonts w:ascii="Century Gothic" w:hAnsi="Century Gothic"/>
                <w:sz w:val="22"/>
                <w:szCs w:val="22"/>
              </w:rPr>
              <w:t>0</w:t>
            </w:r>
          </w:p>
        </w:tc>
      </w:tr>
      <w:tr w:rsidR="00A63FB1" w:rsidRPr="009535AC" w:rsidTr="009535AC">
        <w:tc>
          <w:tcPr>
            <w:tcW w:w="5070" w:type="dxa"/>
          </w:tcPr>
          <w:p w:rsidR="00A63FB1" w:rsidRPr="009535AC" w:rsidRDefault="00A63FB1" w:rsidP="00A63FB1">
            <w:pPr>
              <w:pStyle w:val="Default"/>
              <w:rPr>
                <w:rFonts w:ascii="Century Gothic" w:hAnsi="Century Gothic"/>
                <w:sz w:val="22"/>
                <w:szCs w:val="22"/>
              </w:rPr>
            </w:pPr>
            <w:r w:rsidRPr="009535AC">
              <w:rPr>
                <w:rFonts w:ascii="Century Gothic" w:hAnsi="Century Gothic"/>
                <w:sz w:val="22"/>
                <w:szCs w:val="22"/>
              </w:rPr>
              <w:t>A person’s treatment increased</w:t>
            </w:r>
          </w:p>
        </w:tc>
        <w:tc>
          <w:tcPr>
            <w:tcW w:w="4172" w:type="dxa"/>
          </w:tcPr>
          <w:p w:rsidR="00A63FB1" w:rsidRPr="009535AC" w:rsidRDefault="000B0594" w:rsidP="00A63FB1">
            <w:pPr>
              <w:pStyle w:val="Default"/>
              <w:rPr>
                <w:rFonts w:ascii="Century Gothic" w:hAnsi="Century Gothic"/>
                <w:sz w:val="22"/>
                <w:szCs w:val="22"/>
              </w:rPr>
            </w:pPr>
            <w:r>
              <w:rPr>
                <w:rFonts w:ascii="Century Gothic" w:hAnsi="Century Gothic"/>
                <w:sz w:val="22"/>
                <w:szCs w:val="22"/>
              </w:rPr>
              <w:t>0</w:t>
            </w:r>
          </w:p>
        </w:tc>
      </w:tr>
      <w:tr w:rsidR="00A63FB1" w:rsidRPr="009535AC" w:rsidTr="009535AC">
        <w:tc>
          <w:tcPr>
            <w:tcW w:w="5070" w:type="dxa"/>
          </w:tcPr>
          <w:p w:rsidR="00A63FB1" w:rsidRPr="009535AC" w:rsidRDefault="00A63FB1" w:rsidP="00A63FB1">
            <w:pPr>
              <w:pStyle w:val="Default"/>
              <w:rPr>
                <w:rFonts w:ascii="Century Gothic" w:hAnsi="Century Gothic"/>
                <w:sz w:val="22"/>
                <w:szCs w:val="22"/>
              </w:rPr>
            </w:pPr>
            <w:r w:rsidRPr="009535AC">
              <w:rPr>
                <w:rFonts w:ascii="Century Gothic" w:hAnsi="Century Gothic"/>
                <w:sz w:val="22"/>
                <w:szCs w:val="22"/>
              </w:rPr>
              <w:t>The structure of a person’s body changed</w:t>
            </w:r>
          </w:p>
        </w:tc>
        <w:tc>
          <w:tcPr>
            <w:tcW w:w="4172" w:type="dxa"/>
          </w:tcPr>
          <w:p w:rsidR="00A63FB1" w:rsidRPr="009535AC" w:rsidRDefault="000B0594" w:rsidP="00A63FB1">
            <w:pPr>
              <w:pStyle w:val="Default"/>
              <w:rPr>
                <w:rFonts w:ascii="Century Gothic" w:hAnsi="Century Gothic"/>
                <w:sz w:val="22"/>
                <w:szCs w:val="22"/>
              </w:rPr>
            </w:pPr>
            <w:r>
              <w:rPr>
                <w:rFonts w:ascii="Century Gothic" w:hAnsi="Century Gothic"/>
                <w:sz w:val="22"/>
                <w:szCs w:val="22"/>
              </w:rPr>
              <w:t>0</w:t>
            </w:r>
          </w:p>
        </w:tc>
      </w:tr>
      <w:tr w:rsidR="00A63FB1" w:rsidRPr="009535AC" w:rsidTr="009535AC">
        <w:tc>
          <w:tcPr>
            <w:tcW w:w="5070" w:type="dxa"/>
          </w:tcPr>
          <w:p w:rsidR="00A63FB1" w:rsidRPr="009535AC" w:rsidRDefault="00A63FB1" w:rsidP="00A63FB1">
            <w:pPr>
              <w:pStyle w:val="Default"/>
              <w:rPr>
                <w:rFonts w:ascii="Century Gothic" w:hAnsi="Century Gothic"/>
                <w:sz w:val="22"/>
                <w:szCs w:val="22"/>
              </w:rPr>
            </w:pPr>
            <w:r w:rsidRPr="009535AC">
              <w:rPr>
                <w:rFonts w:ascii="Century Gothic" w:hAnsi="Century Gothic"/>
                <w:sz w:val="22"/>
                <w:szCs w:val="22"/>
              </w:rPr>
              <w:t>A person’s life expectancy shortened</w:t>
            </w:r>
          </w:p>
        </w:tc>
        <w:tc>
          <w:tcPr>
            <w:tcW w:w="4172" w:type="dxa"/>
          </w:tcPr>
          <w:p w:rsidR="00A63FB1" w:rsidRPr="009535AC" w:rsidRDefault="000B0594" w:rsidP="00A63FB1">
            <w:pPr>
              <w:pStyle w:val="Default"/>
              <w:rPr>
                <w:rFonts w:ascii="Century Gothic" w:hAnsi="Century Gothic"/>
                <w:sz w:val="22"/>
                <w:szCs w:val="22"/>
              </w:rPr>
            </w:pPr>
            <w:r>
              <w:rPr>
                <w:rFonts w:ascii="Century Gothic" w:hAnsi="Century Gothic"/>
                <w:sz w:val="22"/>
                <w:szCs w:val="22"/>
              </w:rPr>
              <w:t>0</w:t>
            </w:r>
          </w:p>
        </w:tc>
      </w:tr>
      <w:tr w:rsidR="00A63FB1" w:rsidRPr="009535AC" w:rsidTr="009535AC">
        <w:tc>
          <w:tcPr>
            <w:tcW w:w="5070" w:type="dxa"/>
          </w:tcPr>
          <w:p w:rsidR="00A63FB1" w:rsidRPr="009535AC" w:rsidRDefault="00932BC8" w:rsidP="00A63FB1">
            <w:pPr>
              <w:pStyle w:val="Default"/>
              <w:rPr>
                <w:rFonts w:ascii="Century Gothic" w:hAnsi="Century Gothic"/>
                <w:sz w:val="22"/>
                <w:szCs w:val="22"/>
              </w:rPr>
            </w:pPr>
            <w:r w:rsidRPr="009535AC">
              <w:rPr>
                <w:rFonts w:ascii="Century Gothic" w:hAnsi="Century Gothic"/>
                <w:sz w:val="22"/>
                <w:szCs w:val="22"/>
              </w:rPr>
              <w:t>A person’s sensory, motor or intellectual functions was impaired for 28 days or more</w:t>
            </w:r>
          </w:p>
        </w:tc>
        <w:tc>
          <w:tcPr>
            <w:tcW w:w="4172" w:type="dxa"/>
          </w:tcPr>
          <w:p w:rsidR="00A63FB1" w:rsidRPr="009535AC" w:rsidRDefault="000B0594" w:rsidP="00A63FB1">
            <w:pPr>
              <w:pStyle w:val="Default"/>
              <w:rPr>
                <w:rFonts w:ascii="Century Gothic" w:hAnsi="Century Gothic"/>
                <w:sz w:val="22"/>
                <w:szCs w:val="22"/>
              </w:rPr>
            </w:pPr>
            <w:r>
              <w:rPr>
                <w:rFonts w:ascii="Century Gothic" w:hAnsi="Century Gothic"/>
                <w:sz w:val="22"/>
                <w:szCs w:val="22"/>
              </w:rPr>
              <w:t>0</w:t>
            </w:r>
          </w:p>
        </w:tc>
      </w:tr>
      <w:tr w:rsidR="00A63FB1" w:rsidRPr="009535AC" w:rsidTr="009535AC">
        <w:tc>
          <w:tcPr>
            <w:tcW w:w="5070" w:type="dxa"/>
          </w:tcPr>
          <w:p w:rsidR="00A63FB1" w:rsidRPr="009535AC" w:rsidRDefault="00932BC8" w:rsidP="00A63FB1">
            <w:pPr>
              <w:pStyle w:val="Default"/>
              <w:rPr>
                <w:rFonts w:ascii="Century Gothic" w:hAnsi="Century Gothic"/>
                <w:sz w:val="22"/>
                <w:szCs w:val="22"/>
              </w:rPr>
            </w:pPr>
            <w:r w:rsidRPr="009535AC">
              <w:rPr>
                <w:rFonts w:ascii="Century Gothic" w:hAnsi="Century Gothic"/>
                <w:sz w:val="22"/>
                <w:szCs w:val="22"/>
              </w:rPr>
              <w:t>A person experienced pain or psychological harm for 28 days or more</w:t>
            </w:r>
          </w:p>
        </w:tc>
        <w:tc>
          <w:tcPr>
            <w:tcW w:w="4172" w:type="dxa"/>
          </w:tcPr>
          <w:p w:rsidR="00A63FB1" w:rsidRPr="009535AC" w:rsidRDefault="000B0594" w:rsidP="00A63FB1">
            <w:pPr>
              <w:pStyle w:val="Default"/>
              <w:rPr>
                <w:rFonts w:ascii="Century Gothic" w:hAnsi="Century Gothic"/>
                <w:sz w:val="22"/>
                <w:szCs w:val="22"/>
              </w:rPr>
            </w:pPr>
            <w:r>
              <w:rPr>
                <w:rFonts w:ascii="Century Gothic" w:hAnsi="Century Gothic"/>
                <w:sz w:val="22"/>
                <w:szCs w:val="22"/>
              </w:rPr>
              <w:t>0</w:t>
            </w:r>
          </w:p>
        </w:tc>
      </w:tr>
      <w:tr w:rsidR="00A63FB1" w:rsidRPr="009535AC" w:rsidTr="009535AC">
        <w:tc>
          <w:tcPr>
            <w:tcW w:w="5070" w:type="dxa"/>
          </w:tcPr>
          <w:p w:rsidR="00A63FB1" w:rsidRPr="009535AC" w:rsidRDefault="00932BC8" w:rsidP="00A63FB1">
            <w:pPr>
              <w:pStyle w:val="Default"/>
              <w:rPr>
                <w:rFonts w:ascii="Century Gothic" w:hAnsi="Century Gothic"/>
                <w:sz w:val="22"/>
                <w:szCs w:val="22"/>
              </w:rPr>
            </w:pPr>
            <w:r w:rsidRPr="009535AC">
              <w:rPr>
                <w:rFonts w:ascii="Century Gothic" w:hAnsi="Century Gothic"/>
                <w:sz w:val="22"/>
                <w:szCs w:val="22"/>
              </w:rPr>
              <w:t>A person needed health treatment in order to prevent them dying</w:t>
            </w:r>
          </w:p>
        </w:tc>
        <w:tc>
          <w:tcPr>
            <w:tcW w:w="4172" w:type="dxa"/>
          </w:tcPr>
          <w:p w:rsidR="00A63FB1" w:rsidRPr="009535AC" w:rsidRDefault="000B0594" w:rsidP="00A63FB1">
            <w:pPr>
              <w:pStyle w:val="Default"/>
              <w:rPr>
                <w:rFonts w:ascii="Century Gothic" w:hAnsi="Century Gothic"/>
                <w:sz w:val="22"/>
                <w:szCs w:val="22"/>
              </w:rPr>
            </w:pPr>
            <w:r>
              <w:rPr>
                <w:rFonts w:ascii="Century Gothic" w:hAnsi="Century Gothic"/>
                <w:sz w:val="22"/>
                <w:szCs w:val="22"/>
              </w:rPr>
              <w:t>0</w:t>
            </w:r>
          </w:p>
        </w:tc>
      </w:tr>
      <w:tr w:rsidR="00932BC8" w:rsidRPr="009535AC" w:rsidTr="009535AC">
        <w:tc>
          <w:tcPr>
            <w:tcW w:w="5070" w:type="dxa"/>
          </w:tcPr>
          <w:p w:rsidR="00932BC8" w:rsidRPr="009535AC" w:rsidRDefault="00932BC8" w:rsidP="00A63FB1">
            <w:pPr>
              <w:pStyle w:val="Default"/>
              <w:rPr>
                <w:rFonts w:ascii="Century Gothic" w:hAnsi="Century Gothic"/>
                <w:sz w:val="22"/>
                <w:szCs w:val="22"/>
              </w:rPr>
            </w:pPr>
            <w:r w:rsidRPr="009535AC">
              <w:rPr>
                <w:rFonts w:ascii="Century Gothic" w:hAnsi="Century Gothic"/>
                <w:sz w:val="22"/>
                <w:szCs w:val="22"/>
              </w:rPr>
              <w:t>A person needing health treatment in order to prevent other injuries as listed above</w:t>
            </w:r>
          </w:p>
        </w:tc>
        <w:tc>
          <w:tcPr>
            <w:tcW w:w="4172" w:type="dxa"/>
          </w:tcPr>
          <w:p w:rsidR="00932BC8" w:rsidRPr="009535AC" w:rsidRDefault="000B0594" w:rsidP="00A63FB1">
            <w:pPr>
              <w:pStyle w:val="Default"/>
              <w:rPr>
                <w:rFonts w:ascii="Century Gothic" w:hAnsi="Century Gothic"/>
                <w:sz w:val="22"/>
                <w:szCs w:val="22"/>
              </w:rPr>
            </w:pPr>
            <w:r>
              <w:rPr>
                <w:rFonts w:ascii="Century Gothic" w:hAnsi="Century Gothic"/>
                <w:sz w:val="22"/>
                <w:szCs w:val="22"/>
              </w:rPr>
              <w:t>0</w:t>
            </w:r>
          </w:p>
        </w:tc>
      </w:tr>
      <w:tr w:rsidR="00932BC8" w:rsidRPr="009535AC" w:rsidTr="009535AC">
        <w:tc>
          <w:tcPr>
            <w:tcW w:w="5070" w:type="dxa"/>
          </w:tcPr>
          <w:p w:rsidR="00932BC8" w:rsidRPr="009535AC" w:rsidRDefault="00932BC8" w:rsidP="00A63FB1">
            <w:pPr>
              <w:pStyle w:val="Default"/>
              <w:rPr>
                <w:rFonts w:ascii="Century Gothic" w:hAnsi="Century Gothic"/>
                <w:sz w:val="22"/>
                <w:szCs w:val="22"/>
              </w:rPr>
            </w:pPr>
            <w:r w:rsidRPr="009535AC">
              <w:rPr>
                <w:rFonts w:ascii="Century Gothic" w:hAnsi="Century Gothic"/>
                <w:b/>
                <w:bCs/>
                <w:sz w:val="22"/>
                <w:szCs w:val="22"/>
              </w:rPr>
              <w:t>TOTAL</w:t>
            </w:r>
          </w:p>
        </w:tc>
        <w:tc>
          <w:tcPr>
            <w:tcW w:w="4172" w:type="dxa"/>
          </w:tcPr>
          <w:p w:rsidR="00932BC8" w:rsidRPr="009535AC" w:rsidRDefault="000B0594" w:rsidP="00A63FB1">
            <w:pPr>
              <w:pStyle w:val="Default"/>
              <w:rPr>
                <w:rFonts w:ascii="Century Gothic" w:hAnsi="Century Gothic"/>
                <w:sz w:val="22"/>
                <w:szCs w:val="22"/>
              </w:rPr>
            </w:pPr>
            <w:r>
              <w:rPr>
                <w:rFonts w:ascii="Century Gothic" w:hAnsi="Century Gothic"/>
                <w:sz w:val="22"/>
                <w:szCs w:val="22"/>
              </w:rPr>
              <w:t>0</w:t>
            </w:r>
          </w:p>
        </w:tc>
      </w:tr>
    </w:tbl>
    <w:p w:rsidR="00932BC8" w:rsidRPr="009535AC" w:rsidRDefault="00932BC8" w:rsidP="00932BC8">
      <w:pPr>
        <w:rPr>
          <w:rFonts w:ascii="Century Gothic" w:hAnsi="Century Gothic"/>
        </w:rPr>
      </w:pPr>
    </w:p>
    <w:p w:rsidR="009535AC" w:rsidRPr="009535AC" w:rsidRDefault="009535AC" w:rsidP="00932BC8">
      <w:pPr>
        <w:pStyle w:val="Default"/>
        <w:rPr>
          <w:rFonts w:ascii="Century Gothic" w:hAnsi="Century Gothic"/>
          <w:sz w:val="22"/>
          <w:szCs w:val="22"/>
        </w:rPr>
      </w:pPr>
    </w:p>
    <w:p w:rsidR="00932BC8" w:rsidRPr="009535AC" w:rsidRDefault="00932BC8" w:rsidP="009535AC">
      <w:pPr>
        <w:pStyle w:val="Default"/>
        <w:numPr>
          <w:ilvl w:val="0"/>
          <w:numId w:val="1"/>
        </w:numPr>
        <w:rPr>
          <w:rFonts w:ascii="Century Gothic" w:hAnsi="Century Gothic"/>
          <w:b/>
          <w:sz w:val="22"/>
          <w:szCs w:val="22"/>
        </w:rPr>
      </w:pPr>
      <w:r w:rsidRPr="009535AC">
        <w:rPr>
          <w:rFonts w:ascii="Century Gothic" w:hAnsi="Century Gothic"/>
          <w:b/>
          <w:bCs/>
          <w:sz w:val="22"/>
          <w:szCs w:val="22"/>
        </w:rPr>
        <w:t xml:space="preserve"> Information about our policies and procedures </w:t>
      </w:r>
    </w:p>
    <w:p w:rsidR="009535AC" w:rsidRPr="009535AC" w:rsidRDefault="009535AC" w:rsidP="009535AC">
      <w:pPr>
        <w:pStyle w:val="Default"/>
        <w:ind w:left="720"/>
        <w:rPr>
          <w:rFonts w:ascii="Century Gothic" w:hAnsi="Century Gothic"/>
          <w:b/>
          <w:sz w:val="22"/>
          <w:szCs w:val="22"/>
        </w:rPr>
      </w:pPr>
    </w:p>
    <w:p w:rsidR="006A3AAA" w:rsidRDefault="006A3AAA" w:rsidP="009535AC">
      <w:pPr>
        <w:pStyle w:val="Default"/>
        <w:autoSpaceDE/>
        <w:autoSpaceDN/>
        <w:adjustRightInd/>
        <w:rPr>
          <w:rFonts w:ascii="Century Gothic" w:hAnsi="Century Gothic"/>
          <w:sz w:val="22"/>
          <w:szCs w:val="22"/>
        </w:rPr>
      </w:pPr>
    </w:p>
    <w:p w:rsidR="00932BC8" w:rsidRDefault="00932BC8" w:rsidP="009535AC">
      <w:pPr>
        <w:pStyle w:val="Default"/>
        <w:autoSpaceDE/>
        <w:autoSpaceDN/>
        <w:adjustRightInd/>
        <w:rPr>
          <w:rFonts w:ascii="Century Gothic" w:hAnsi="Century Gothic"/>
          <w:sz w:val="22"/>
          <w:szCs w:val="22"/>
        </w:rPr>
      </w:pPr>
      <w:r w:rsidRPr="009535AC">
        <w:rPr>
          <w:rFonts w:ascii="Century Gothic" w:hAnsi="Century Gothic"/>
          <w:sz w:val="22"/>
          <w:szCs w:val="22"/>
        </w:rPr>
        <w:t xml:space="preserve">Each adverse event is reviewed to understand what happened and how we might improve the care we provide in the future. The level of review depends on the severity of the event as well as the potential for learning. </w:t>
      </w:r>
    </w:p>
    <w:p w:rsidR="009535AC" w:rsidRPr="009535AC" w:rsidRDefault="009535AC" w:rsidP="009535AC">
      <w:pPr>
        <w:pStyle w:val="Default"/>
        <w:autoSpaceDE/>
        <w:autoSpaceDN/>
        <w:adjustRightInd/>
        <w:rPr>
          <w:rFonts w:ascii="Century Gothic" w:hAnsi="Century Gothic"/>
          <w:sz w:val="22"/>
          <w:szCs w:val="22"/>
        </w:rPr>
      </w:pPr>
    </w:p>
    <w:p w:rsidR="00932BC8" w:rsidRDefault="00932BC8" w:rsidP="009535AC">
      <w:pPr>
        <w:pStyle w:val="Default"/>
        <w:autoSpaceDE/>
        <w:autoSpaceDN/>
        <w:adjustRightInd/>
        <w:rPr>
          <w:rFonts w:ascii="Century Gothic" w:hAnsi="Century Gothic"/>
          <w:sz w:val="22"/>
          <w:szCs w:val="22"/>
        </w:rPr>
      </w:pPr>
      <w:r w:rsidRPr="009535AC">
        <w:rPr>
          <w:rFonts w:ascii="Century Gothic" w:hAnsi="Century Gothic"/>
          <w:sz w:val="22"/>
          <w:szCs w:val="22"/>
        </w:rPr>
        <w:t xml:space="preserve">Recommendations are made as part of the adverse event review, and </w:t>
      </w:r>
      <w:r w:rsidR="000B0594">
        <w:rPr>
          <w:rFonts w:ascii="Century Gothic" w:hAnsi="Century Gothic"/>
          <w:sz w:val="22"/>
          <w:szCs w:val="22"/>
        </w:rPr>
        <w:t>Iona Ferguson</w:t>
      </w:r>
      <w:r w:rsidR="00124657">
        <w:rPr>
          <w:rFonts w:ascii="Century Gothic" w:hAnsi="Century Gothic"/>
          <w:sz w:val="22"/>
          <w:szCs w:val="22"/>
        </w:rPr>
        <w:t>, Practice Manager</w:t>
      </w:r>
      <w:r w:rsidR="000B0594">
        <w:rPr>
          <w:rFonts w:ascii="Century Gothic" w:hAnsi="Century Gothic"/>
          <w:sz w:val="22"/>
          <w:szCs w:val="22"/>
        </w:rPr>
        <w:t xml:space="preserve"> must</w:t>
      </w:r>
      <w:r w:rsidR="00034067">
        <w:rPr>
          <w:rFonts w:ascii="Century Gothic" w:hAnsi="Century Gothic"/>
          <w:sz w:val="22"/>
          <w:szCs w:val="22"/>
        </w:rPr>
        <w:t xml:space="preserve"> take action to implement these recommendations.  These are followed up until conclusion.</w:t>
      </w:r>
    </w:p>
    <w:p w:rsidR="000D37C7" w:rsidRPr="009535AC" w:rsidRDefault="000D37C7" w:rsidP="009535AC">
      <w:pPr>
        <w:pStyle w:val="Default"/>
        <w:autoSpaceDE/>
        <w:autoSpaceDN/>
        <w:adjustRightInd/>
        <w:rPr>
          <w:rFonts w:ascii="Century Gothic" w:hAnsi="Century Gothic"/>
          <w:sz w:val="22"/>
          <w:szCs w:val="22"/>
        </w:rPr>
      </w:pPr>
    </w:p>
    <w:p w:rsidR="00034067" w:rsidRDefault="00034067" w:rsidP="009535AC">
      <w:pPr>
        <w:pStyle w:val="Default"/>
        <w:autoSpaceDE/>
        <w:autoSpaceDN/>
        <w:adjustRightInd/>
        <w:rPr>
          <w:rFonts w:ascii="Century Gothic" w:hAnsi="Century Gothic"/>
          <w:sz w:val="22"/>
          <w:szCs w:val="22"/>
        </w:rPr>
      </w:pPr>
    </w:p>
    <w:p w:rsidR="009535AC" w:rsidRDefault="009535AC" w:rsidP="00932BC8">
      <w:pPr>
        <w:pStyle w:val="Default"/>
        <w:rPr>
          <w:rFonts w:ascii="Century Gothic" w:hAnsi="Century Gothic"/>
          <w:sz w:val="22"/>
          <w:szCs w:val="22"/>
        </w:rPr>
      </w:pPr>
    </w:p>
    <w:p w:rsidR="000B0594" w:rsidRDefault="000B0594" w:rsidP="00932BC8">
      <w:pPr>
        <w:pStyle w:val="Default"/>
        <w:rPr>
          <w:rFonts w:ascii="Century Gothic" w:hAnsi="Century Gothic"/>
          <w:sz w:val="22"/>
          <w:szCs w:val="22"/>
        </w:rPr>
      </w:pPr>
    </w:p>
    <w:p w:rsidR="000B0594" w:rsidRDefault="000B0594" w:rsidP="00932BC8">
      <w:pPr>
        <w:pStyle w:val="Default"/>
        <w:rPr>
          <w:rFonts w:ascii="Century Gothic" w:hAnsi="Century Gothic"/>
          <w:sz w:val="22"/>
          <w:szCs w:val="22"/>
        </w:rPr>
      </w:pPr>
    </w:p>
    <w:p w:rsidR="000B0594" w:rsidRPr="009535AC" w:rsidRDefault="000B0594" w:rsidP="00932BC8">
      <w:pPr>
        <w:pStyle w:val="Default"/>
        <w:rPr>
          <w:rFonts w:ascii="Century Gothic" w:hAnsi="Century Gothic"/>
          <w:sz w:val="22"/>
          <w:szCs w:val="22"/>
        </w:rPr>
      </w:pPr>
    </w:p>
    <w:p w:rsidR="009535AC" w:rsidRPr="009535AC" w:rsidRDefault="009535AC" w:rsidP="00932BC8">
      <w:pPr>
        <w:pStyle w:val="Default"/>
        <w:rPr>
          <w:rFonts w:ascii="Century Gothic" w:hAnsi="Century Gothic"/>
          <w:sz w:val="22"/>
          <w:szCs w:val="22"/>
        </w:rPr>
      </w:pPr>
    </w:p>
    <w:sectPr w:rsidR="009535AC" w:rsidRPr="009535AC" w:rsidSect="00394EC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635" w:rsidRDefault="00872635" w:rsidP="00A63FB1">
      <w:pPr>
        <w:spacing w:after="0" w:line="240" w:lineRule="auto"/>
      </w:pPr>
      <w:r>
        <w:separator/>
      </w:r>
    </w:p>
  </w:endnote>
  <w:endnote w:type="continuationSeparator" w:id="0">
    <w:p w:rsidR="00872635" w:rsidRDefault="00872635" w:rsidP="00A6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667746"/>
      <w:docPartObj>
        <w:docPartGallery w:val="Page Numbers (Bottom of Page)"/>
        <w:docPartUnique/>
      </w:docPartObj>
    </w:sdtPr>
    <w:sdtEndPr>
      <w:rPr>
        <w:color w:val="808080" w:themeColor="background1" w:themeShade="80"/>
        <w:spacing w:val="60"/>
      </w:rPr>
    </w:sdtEndPr>
    <w:sdtContent>
      <w:p w:rsidR="009535AC" w:rsidRDefault="00394ECD">
        <w:pPr>
          <w:pStyle w:val="Footer"/>
          <w:pBdr>
            <w:top w:val="single" w:sz="4" w:space="1" w:color="D9D9D9" w:themeColor="background1" w:themeShade="D9"/>
          </w:pBdr>
          <w:rPr>
            <w:b/>
            <w:bCs/>
          </w:rPr>
        </w:pPr>
        <w:r>
          <w:fldChar w:fldCharType="begin"/>
        </w:r>
        <w:r w:rsidR="009535AC">
          <w:instrText xml:space="preserve"> PAGE   \* MERGEFORMAT </w:instrText>
        </w:r>
        <w:r>
          <w:fldChar w:fldCharType="separate"/>
        </w:r>
        <w:r w:rsidR="00060017" w:rsidRPr="00060017">
          <w:rPr>
            <w:b/>
            <w:bCs/>
            <w:noProof/>
          </w:rPr>
          <w:t>2</w:t>
        </w:r>
        <w:r>
          <w:rPr>
            <w:b/>
            <w:bCs/>
            <w:noProof/>
          </w:rPr>
          <w:fldChar w:fldCharType="end"/>
        </w:r>
        <w:r w:rsidR="009535AC">
          <w:rPr>
            <w:b/>
            <w:bCs/>
          </w:rPr>
          <w:t xml:space="preserve"> | </w:t>
        </w:r>
        <w:r w:rsidR="009535AC">
          <w:rPr>
            <w:color w:val="808080" w:themeColor="background1" w:themeShade="80"/>
            <w:spacing w:val="60"/>
          </w:rPr>
          <w:t>Page</w:t>
        </w:r>
      </w:p>
    </w:sdtContent>
  </w:sdt>
  <w:p w:rsidR="009535AC" w:rsidRDefault="00953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635" w:rsidRDefault="00872635" w:rsidP="00A63FB1">
      <w:pPr>
        <w:spacing w:after="0" w:line="240" w:lineRule="auto"/>
      </w:pPr>
      <w:r>
        <w:separator/>
      </w:r>
    </w:p>
  </w:footnote>
  <w:footnote w:type="continuationSeparator" w:id="0">
    <w:p w:rsidR="00872635" w:rsidRDefault="00872635" w:rsidP="00A63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FB1" w:rsidRPr="00E90228" w:rsidRDefault="00A63FB1">
    <w:pPr>
      <w:pStyle w:val="Header"/>
      <w:rPr>
        <w:rFonts w:ascii="Century Gothic" w:hAnsi="Century Gothic"/>
        <w:sz w:val="24"/>
        <w:szCs w:val="24"/>
      </w:rPr>
    </w:pPr>
    <w:r w:rsidRPr="00E90228">
      <w:rPr>
        <w:rFonts w:ascii="Century Gothic" w:hAnsi="Century Gothic"/>
        <w:sz w:val="24"/>
        <w:szCs w:val="24"/>
      </w:rPr>
      <w:t xml:space="preserve">Duty </w:t>
    </w:r>
    <w:r w:rsidR="000B0594">
      <w:rPr>
        <w:rFonts w:ascii="Century Gothic" w:hAnsi="Century Gothic"/>
        <w:sz w:val="24"/>
        <w:szCs w:val="24"/>
      </w:rPr>
      <w:t>of Candour Annual Report 2022/23</w:t>
    </w:r>
  </w:p>
  <w:p w:rsidR="00A63FB1" w:rsidRDefault="00A63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FFA"/>
    <w:multiLevelType w:val="hybridMultilevel"/>
    <w:tmpl w:val="E6086D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B1"/>
    <w:rsid w:val="00034067"/>
    <w:rsid w:val="00060017"/>
    <w:rsid w:val="000B0594"/>
    <w:rsid w:val="000D37C7"/>
    <w:rsid w:val="000E00D0"/>
    <w:rsid w:val="00124657"/>
    <w:rsid w:val="002960C4"/>
    <w:rsid w:val="002A0486"/>
    <w:rsid w:val="00394ECD"/>
    <w:rsid w:val="003E2528"/>
    <w:rsid w:val="00402E85"/>
    <w:rsid w:val="00435329"/>
    <w:rsid w:val="00462F2A"/>
    <w:rsid w:val="004B0625"/>
    <w:rsid w:val="00584EAF"/>
    <w:rsid w:val="005D6CA2"/>
    <w:rsid w:val="006A3AAA"/>
    <w:rsid w:val="0081148B"/>
    <w:rsid w:val="00872635"/>
    <w:rsid w:val="00932BC8"/>
    <w:rsid w:val="009535AC"/>
    <w:rsid w:val="009E38BC"/>
    <w:rsid w:val="00A63FB1"/>
    <w:rsid w:val="00C563CA"/>
    <w:rsid w:val="00E90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88431-B1B9-48B1-B06D-653C74B5D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3FB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63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FB1"/>
  </w:style>
  <w:style w:type="paragraph" w:styleId="Footer">
    <w:name w:val="footer"/>
    <w:basedOn w:val="Normal"/>
    <w:link w:val="FooterChar"/>
    <w:uiPriority w:val="99"/>
    <w:unhideWhenUsed/>
    <w:rsid w:val="00A63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FB1"/>
  </w:style>
  <w:style w:type="paragraph" w:styleId="BalloonText">
    <w:name w:val="Balloon Text"/>
    <w:basedOn w:val="Normal"/>
    <w:link w:val="BalloonTextChar"/>
    <w:uiPriority w:val="99"/>
    <w:semiHidden/>
    <w:unhideWhenUsed/>
    <w:rsid w:val="00A6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FB1"/>
    <w:rPr>
      <w:rFonts w:ascii="Tahoma" w:hAnsi="Tahoma" w:cs="Tahoma"/>
      <w:sz w:val="16"/>
      <w:szCs w:val="16"/>
    </w:rPr>
  </w:style>
  <w:style w:type="table" w:styleId="TableGrid">
    <w:name w:val="Table Grid"/>
    <w:basedOn w:val="TableNormal"/>
    <w:uiPriority w:val="59"/>
    <w:rsid w:val="00A63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38BC"/>
    <w:pPr>
      <w:spacing w:before="150" w:after="150" w:line="312"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097759">
      <w:bodyDiv w:val="1"/>
      <w:marLeft w:val="0"/>
      <w:marRight w:val="0"/>
      <w:marTop w:val="0"/>
      <w:marBottom w:val="0"/>
      <w:divBdr>
        <w:top w:val="single" w:sz="48" w:space="0" w:color="FFFFFF"/>
        <w:left w:val="single" w:sz="48" w:space="0" w:color="FFFFFF"/>
        <w:bottom w:val="single" w:sz="48" w:space="0" w:color="FFFFFF"/>
        <w:right w:val="single" w:sz="48" w:space="0" w:color="FFFFFF"/>
      </w:divBdr>
      <w:divsChild>
        <w:div w:id="788471956">
          <w:marLeft w:val="0"/>
          <w:marRight w:val="0"/>
          <w:marTop w:val="0"/>
          <w:marBottom w:val="0"/>
          <w:divBdr>
            <w:top w:val="none" w:sz="0" w:space="0" w:color="auto"/>
            <w:left w:val="none" w:sz="0" w:space="0" w:color="auto"/>
            <w:bottom w:val="none" w:sz="0" w:space="0" w:color="auto"/>
            <w:right w:val="none" w:sz="0" w:space="0" w:color="auto"/>
          </w:divBdr>
          <w:divsChild>
            <w:div w:id="1513765790">
              <w:marLeft w:val="0"/>
              <w:marRight w:val="0"/>
              <w:marTop w:val="0"/>
              <w:marBottom w:val="0"/>
              <w:divBdr>
                <w:top w:val="none" w:sz="0" w:space="0" w:color="auto"/>
                <w:left w:val="none" w:sz="0" w:space="0" w:color="auto"/>
                <w:bottom w:val="none" w:sz="0" w:space="0" w:color="auto"/>
                <w:right w:val="none" w:sz="0" w:space="0" w:color="auto"/>
              </w:divBdr>
              <w:divsChild>
                <w:div w:id="5592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Hill</dc:creator>
  <cp:lastModifiedBy>Iona Ferguson</cp:lastModifiedBy>
  <cp:revision>3</cp:revision>
  <cp:lastPrinted>2019-06-05T13:29:00Z</cp:lastPrinted>
  <dcterms:created xsi:type="dcterms:W3CDTF">2023-01-18T16:11:00Z</dcterms:created>
  <dcterms:modified xsi:type="dcterms:W3CDTF">2023-01-19T11:58:00Z</dcterms:modified>
</cp:coreProperties>
</file>